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bookmarkStart w:id="1" w:name="_GoBack"/>
      <w:bookmarkEnd w:id="1"/>
      <w:r>
        <w:t>2021 International Symposium on Animal Environment and Welfare</w:t>
      </w:r>
    </w:p>
    <w:p>
      <w:pPr>
        <w:pStyle w:val="7"/>
        <w:rPr>
          <w:sz w:val="32"/>
          <w:szCs w:val="32"/>
        </w:rPr>
      </w:pPr>
      <w:r>
        <w:rPr>
          <w:sz w:val="32"/>
          <w:szCs w:val="32"/>
        </w:rPr>
        <w:t xml:space="preserve">Paper Writing Special Notes </w:t>
      </w:r>
    </w:p>
    <w:p>
      <w:pPr>
        <w:jc w:val="center"/>
        <w:rPr>
          <w:b/>
          <w:bCs/>
          <w:sz w:val="28"/>
          <w:szCs w:val="28"/>
        </w:rPr>
      </w:pPr>
    </w:p>
    <w:p>
      <w:pPr>
        <w:spacing w:after="120"/>
        <w:jc w:val="center"/>
      </w:pPr>
      <w:r>
        <w:t>May 10, 2023</w:t>
      </w:r>
    </w:p>
    <w:p>
      <w:pPr>
        <w:spacing w:after="120"/>
        <w:jc w:val="both"/>
      </w:pPr>
    </w:p>
    <w:p>
      <w:pPr>
        <w:spacing w:after="120"/>
        <w:jc w:val="both"/>
      </w:pPr>
      <w:r>
        <w:t>Dear Authors,</w:t>
      </w:r>
    </w:p>
    <w:p>
      <w:pPr>
        <w:spacing w:after="120"/>
        <w:jc w:val="both"/>
      </w:pPr>
      <w:r>
        <w:t>Thank you for submitting your abstracts to the ISAEW 2023. We recognize that, for some authors, writing full-length scientific papers in English represents a special challenge and take some time to become familiar with the details. To ensure that your paper meets the quality requirement to be accepted in the “Animal Environment and Welfare — Proceedings of International Symposium 2023”, please read the following notes.</w:t>
      </w:r>
    </w:p>
    <w:p>
      <w:pPr>
        <w:numPr>
          <w:ilvl w:val="0"/>
          <w:numId w:val="1"/>
        </w:numPr>
        <w:spacing w:after="120"/>
        <w:jc w:val="both"/>
      </w:pPr>
      <w:r>
        <w:t>Provide sufficient scientific information in the paper. A paper for the ISAEW 2023 proceedings should have minimum of six (6) pages. However, the maximum number of pages allowed is eight (8) for a research paper, and ten (10) for a review paper, including the reference list.</w:t>
      </w:r>
    </w:p>
    <w:p>
      <w:pPr>
        <w:numPr>
          <w:ilvl w:val="0"/>
          <w:numId w:val="1"/>
        </w:numPr>
        <w:spacing w:after="120"/>
        <w:jc w:val="both"/>
      </w:pPr>
      <w:r>
        <w:t xml:space="preserve">Avoid writing the paper as commercial product advertisement(s). Evaluation of methodology or product can be submitted, but the paper must include appropriate and sufficient information covering introduction, objectives, methods, and results and discussion. The proceedings book only publishes scientific papers that contain research results and findings. </w:t>
      </w:r>
    </w:p>
    <w:p>
      <w:pPr>
        <w:numPr>
          <w:ilvl w:val="0"/>
          <w:numId w:val="1"/>
        </w:numPr>
        <w:spacing w:after="120"/>
        <w:jc w:val="both"/>
      </w:pPr>
      <w:r>
        <w:t>Ensure that your work is written in correct scientific English before submission. If there are too many grammar and English errors, the paper will not be reviewed, but returned to the authors, who risk not having the paper revised in-time and included in the proceedings.</w:t>
      </w:r>
    </w:p>
    <w:p>
      <w:pPr>
        <w:numPr>
          <w:ilvl w:val="0"/>
          <w:numId w:val="1"/>
        </w:numPr>
        <w:spacing w:after="120"/>
        <w:jc w:val="both"/>
      </w:pPr>
      <w:r>
        <w:t>If you are not confident with the grammar, and word and technical term choices, requesting English editing by native English speaker(s) or a professional editing service is suggested. Professional language editing services are available, for instance:</w:t>
      </w:r>
    </w:p>
    <w:p>
      <w:pPr>
        <w:spacing w:after="120"/>
        <w:ind w:left="709"/>
        <w:jc w:val="both"/>
      </w:pPr>
      <w:r>
        <w:fldChar w:fldCharType="begin"/>
      </w:r>
      <w:r>
        <w:instrText xml:space="preserve"> HYPERLINK "http://www.aje.com/us/" </w:instrText>
      </w:r>
      <w:r>
        <w:fldChar w:fldCharType="separate"/>
      </w:r>
      <w:r>
        <w:rPr>
          <w:rStyle w:val="12"/>
        </w:rPr>
        <w:t>http://www.aje.com/us/</w:t>
      </w:r>
      <w:r>
        <w:rPr>
          <w:rStyle w:val="12"/>
        </w:rPr>
        <w:fldChar w:fldCharType="end"/>
      </w:r>
      <w:r>
        <w:t xml:space="preserve"> (Price example: $298 for Standard Editing of a paper of 4000 words, returned in 5 days).</w:t>
      </w:r>
    </w:p>
    <w:p>
      <w:pPr>
        <w:spacing w:after="120"/>
        <w:ind w:left="709"/>
        <w:jc w:val="both"/>
      </w:pPr>
      <w:r>
        <w:fldChar w:fldCharType="begin"/>
      </w:r>
      <w:r>
        <w:instrText xml:space="preserve"> HYPERLINK "http://webshop.elsevier.com/languageservices/languageediting/" </w:instrText>
      </w:r>
      <w:r>
        <w:fldChar w:fldCharType="separate"/>
      </w:r>
      <w:r>
        <w:rPr>
          <w:rStyle w:val="12"/>
        </w:rPr>
        <w:t>http://webshop.elsevier.com/languageservices/languageediting/</w:t>
      </w:r>
      <w:r>
        <w:rPr>
          <w:rStyle w:val="12"/>
        </w:rPr>
        <w:fldChar w:fldCharType="end"/>
      </w:r>
      <w:r>
        <w:t xml:space="preserve"> (Price example: $320 for Standard Editing of a paper of 4000 words, returned in 7 business days).</w:t>
      </w:r>
    </w:p>
    <w:p>
      <w:pPr>
        <w:spacing w:after="120"/>
        <w:ind w:left="709"/>
        <w:jc w:val="both"/>
      </w:pPr>
      <w:r>
        <w:t>However, these services are provided by outside vendors and are not endorsed by the ISAEW 2023.</w:t>
      </w:r>
    </w:p>
    <w:p>
      <w:pPr>
        <w:numPr>
          <w:ilvl w:val="0"/>
          <w:numId w:val="1"/>
        </w:numPr>
        <w:spacing w:after="120"/>
        <w:jc w:val="both"/>
      </w:pPr>
      <w:r>
        <w:t>C</w:t>
      </w:r>
      <w:r>
        <w:rPr>
          <w:rFonts w:hint="eastAsia"/>
        </w:rPr>
        <w:t>heck the correctness of all author names in standard English format, which requires the given name (</w:t>
      </w:r>
      <w:r>
        <w:rPr>
          <w:rFonts w:hint="eastAsia"/>
          <w:sz w:val="22"/>
          <w:szCs w:val="22"/>
        </w:rPr>
        <w:t>名</w:t>
      </w:r>
      <w:r>
        <w:rPr>
          <w:rFonts w:hint="eastAsia"/>
        </w:rPr>
        <w:t>) as the first name and the family name (</w:t>
      </w:r>
      <w:r>
        <w:rPr>
          <w:rFonts w:hint="eastAsia"/>
          <w:sz w:val="22"/>
          <w:szCs w:val="22"/>
        </w:rPr>
        <w:t>姓</w:t>
      </w:r>
      <w:r>
        <w:rPr>
          <w:rFonts w:hint="eastAsia"/>
        </w:rPr>
        <w:t>) as the last name.</w:t>
      </w:r>
    </w:p>
    <w:p>
      <w:pPr>
        <w:numPr>
          <w:ilvl w:val="0"/>
          <w:numId w:val="1"/>
        </w:numPr>
        <w:spacing w:after="120"/>
        <w:jc w:val="both"/>
      </w:pPr>
      <w:r>
        <w:t xml:space="preserve">There are a few common errors while typing research papers in English, a list of these common errors is provided in Table 1. </w:t>
      </w:r>
    </w:p>
    <w:p>
      <w:pPr>
        <w:numPr>
          <w:ilvl w:val="1"/>
          <w:numId w:val="1"/>
        </w:numPr>
        <w:spacing w:after="120"/>
        <w:jc w:val="both"/>
      </w:pPr>
      <w:r>
        <w:t>Most of these errors are generated when the computer keyboard is set in Chinese typing mode.</w:t>
      </w:r>
    </w:p>
    <w:p>
      <w:pPr>
        <w:numPr>
          <w:ilvl w:val="1"/>
          <w:numId w:val="1"/>
        </w:numPr>
        <w:spacing w:after="120"/>
        <w:jc w:val="both"/>
      </w:pPr>
      <w:r>
        <w:t>Others are related to different meanings of certain symbols, e.g., the tilde “~” symbol.</w:t>
      </w:r>
    </w:p>
    <w:p>
      <w:pPr>
        <w:numPr>
          <w:ilvl w:val="1"/>
          <w:numId w:val="1"/>
        </w:numPr>
        <w:spacing w:after="120"/>
        <w:jc w:val="both"/>
      </w:pPr>
      <w:r>
        <w:t>Still others are because of different typing rules between English and Chinese. For example, there is no space required between two Chinese characters and after most of the punctuations in Chinese writing; but this rule does not apply in English writing and typing.</w:t>
      </w:r>
    </w:p>
    <w:p>
      <w:pPr>
        <w:numPr>
          <w:ilvl w:val="1"/>
          <w:numId w:val="1"/>
        </w:numPr>
        <w:spacing w:after="120"/>
        <w:jc w:val="both"/>
      </w:pPr>
      <w:r>
        <w:t xml:space="preserve">For references, DO NOT list the publication types, e.g., the </w:t>
      </w:r>
      <w:r>
        <w:rPr>
          <w:highlight w:val="yellow"/>
        </w:rPr>
        <w:t>[J]</w:t>
      </w:r>
      <w:r>
        <w:t xml:space="preserve"> in “Yang, T.S., 2007. Environmental sustainability and social desirability issues in pig feeding. Asian-Australasian Journal of Animal Sciences</w:t>
      </w:r>
      <w:r>
        <w:rPr>
          <w:highlight w:val="yellow"/>
        </w:rPr>
        <w:t>[J]</w:t>
      </w:r>
      <w:r>
        <w:t>. 20 (4), 605-614.” They are not required in papers in English.</w:t>
      </w:r>
    </w:p>
    <w:p>
      <w:pPr>
        <w:numPr>
          <w:ilvl w:val="0"/>
          <w:numId w:val="1"/>
        </w:numPr>
        <w:spacing w:after="120"/>
        <w:jc w:val="both"/>
      </w:pPr>
      <w:r>
        <w:t xml:space="preserve">For questions about these special notes, please contact Dr. Ji-Qin Ni, </w:t>
      </w:r>
      <w:r>
        <w:fldChar w:fldCharType="begin"/>
      </w:r>
      <w:r>
        <w:instrText xml:space="preserve"> HYPERLINK "mailto:jiqin@purdue.edu" </w:instrText>
      </w:r>
      <w:r>
        <w:fldChar w:fldCharType="separate"/>
      </w:r>
      <w:r>
        <w:rPr>
          <w:rStyle w:val="12"/>
        </w:rPr>
        <w:t>jiqin@purdue.edu</w:t>
      </w:r>
      <w:r>
        <w:rPr>
          <w:rStyle w:val="12"/>
        </w:rPr>
        <w:fldChar w:fldCharType="end"/>
      </w:r>
      <w:r>
        <w:t>.</w:t>
      </w:r>
    </w:p>
    <w:p>
      <w:pPr>
        <w:ind w:left="1134"/>
      </w:pPr>
      <w:bookmarkStart w:id="0" w:name="_Ref478412849"/>
    </w:p>
    <w:p>
      <w:pPr>
        <w:spacing w:after="120"/>
      </w:pPr>
      <w:r>
        <w:t xml:space="preserve">Table </w:t>
      </w:r>
      <w:r>
        <w:fldChar w:fldCharType="begin"/>
      </w:r>
      <w:r>
        <w:instrText xml:space="preserve"> SEQ Table \* ARABIC </w:instrText>
      </w:r>
      <w:r>
        <w:fldChar w:fldCharType="separate"/>
      </w:r>
      <w:r>
        <w:t>1</w:t>
      </w:r>
      <w:r>
        <w:fldChar w:fldCharType="end"/>
      </w:r>
      <w:bookmarkEnd w:id="0"/>
      <w:r>
        <w:t>. A list of common errors generated while typing research papers in English.</w:t>
      </w:r>
    </w:p>
    <w:tbl>
      <w:tblPr>
        <w:tblStyle w:val="9"/>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984"/>
        <w:gridCol w:w="1985"/>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pStyle w:val="2"/>
              <w:spacing w:before="60" w:after="60"/>
              <w:jc w:val="center"/>
              <w:rPr>
                <w:b w:val="0"/>
                <w:sz w:val="24"/>
                <w:szCs w:val="24"/>
              </w:rPr>
            </w:pPr>
            <w:r>
              <w:rPr>
                <w:b w:val="0"/>
                <w:sz w:val="24"/>
                <w:szCs w:val="24"/>
              </w:rPr>
              <w:t>Item</w:t>
            </w:r>
          </w:p>
        </w:tc>
        <w:tc>
          <w:tcPr>
            <w:tcW w:w="1984" w:type="dxa"/>
            <w:vAlign w:val="center"/>
          </w:tcPr>
          <w:p>
            <w:pPr>
              <w:spacing w:before="60" w:after="60"/>
              <w:jc w:val="center"/>
              <w:rPr>
                <w:bCs/>
              </w:rPr>
            </w:pPr>
            <w:r>
              <w:rPr>
                <w:bCs/>
              </w:rPr>
              <w:t xml:space="preserve">Incorrect </w:t>
            </w:r>
          </w:p>
        </w:tc>
        <w:tc>
          <w:tcPr>
            <w:tcW w:w="1985" w:type="dxa"/>
            <w:vAlign w:val="center"/>
          </w:tcPr>
          <w:p>
            <w:pPr>
              <w:spacing w:before="60" w:after="60"/>
              <w:jc w:val="center"/>
              <w:rPr>
                <w:bCs/>
              </w:rPr>
            </w:pPr>
            <w:r>
              <w:rPr>
                <w:bCs/>
              </w:rPr>
              <w:t>Correct</w:t>
            </w:r>
          </w:p>
        </w:tc>
        <w:tc>
          <w:tcPr>
            <w:tcW w:w="3685" w:type="dxa"/>
            <w:vAlign w:val="center"/>
          </w:tcPr>
          <w:p>
            <w:pPr>
              <w:spacing w:before="60" w:after="60"/>
              <w:jc w:val="center"/>
              <w:rPr>
                <w:bCs/>
              </w:rPr>
            </w:pPr>
            <w:r>
              <w:rPr>
                <w:bCs/>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vAlign w:val="center"/>
          </w:tcPr>
          <w:p>
            <w:pPr>
              <w:tabs>
                <w:tab w:val="left" w:pos="330"/>
                <w:tab w:val="center" w:pos="2880"/>
              </w:tabs>
              <w:spacing w:before="60" w:after="60"/>
            </w:pPr>
            <w:r>
              <w:t>Parentheses</w:t>
            </w:r>
          </w:p>
        </w:tc>
        <w:tc>
          <w:tcPr>
            <w:tcW w:w="1984" w:type="dxa"/>
            <w:vAlign w:val="center"/>
          </w:tcPr>
          <w:p>
            <w:pPr>
              <w:spacing w:before="60" w:after="60"/>
              <w:jc w:val="center"/>
            </w:pPr>
            <w:r>
              <w:rPr>
                <w:highlight w:val="yellow"/>
              </w:rPr>
              <w:t>（</w:t>
            </w:r>
            <w:r>
              <w:t>0.08</w:t>
            </w:r>
            <w:r>
              <w:rPr>
                <w:highlight w:val="yellow"/>
              </w:rPr>
              <w:t>）</w:t>
            </w:r>
          </w:p>
        </w:tc>
        <w:tc>
          <w:tcPr>
            <w:tcW w:w="1985" w:type="dxa"/>
            <w:vAlign w:val="center"/>
          </w:tcPr>
          <w:p>
            <w:pPr>
              <w:spacing w:before="60" w:after="60"/>
              <w:jc w:val="center"/>
            </w:pPr>
            <w:r>
              <w:t>(0.08)</w:t>
            </w:r>
          </w:p>
        </w:tc>
        <w:tc>
          <w:tcPr>
            <w:tcW w:w="3685" w:type="dxa"/>
            <w:vAlign w:val="center"/>
          </w:tcPr>
          <w:p>
            <w:pPr>
              <w:spacing w:before="60" w:after="60"/>
            </w:pPr>
            <w:r>
              <w:t>“</w:t>
            </w:r>
            <w:r>
              <w:rPr>
                <w:rFonts w:hint="eastAsia" w:ascii="宋体" w:hAnsi="宋体" w:cs="宋体"/>
                <w:highlight w:val="yellow"/>
              </w:rPr>
              <w:t>（</w:t>
            </w:r>
            <w:r>
              <w:t>” and “</w:t>
            </w:r>
            <w:r>
              <w:rPr>
                <w:highlight w:val="yellow"/>
              </w:rPr>
              <w:t>）</w:t>
            </w:r>
            <w:r>
              <w:t>” are not used in English fonts.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tabs>
                <w:tab w:val="left" w:pos="330"/>
                <w:tab w:val="center" w:pos="2880"/>
              </w:tabs>
              <w:spacing w:before="60" w:after="60"/>
            </w:pPr>
            <w:r>
              <w:t>Units</w:t>
            </w:r>
          </w:p>
        </w:tc>
        <w:tc>
          <w:tcPr>
            <w:tcW w:w="1984" w:type="dxa"/>
            <w:vAlign w:val="center"/>
          </w:tcPr>
          <w:p>
            <w:pPr>
              <w:spacing w:before="60" w:after="60"/>
              <w:jc w:val="center"/>
            </w:pPr>
            <w:r>
              <w:rPr>
                <w:rFonts w:hint="eastAsia" w:ascii="宋体" w:hAnsi="宋体"/>
                <w:highlight w:val="yellow"/>
              </w:rPr>
              <w:t>℃</w:t>
            </w:r>
            <w:r>
              <w:rPr>
                <w:rFonts w:hint="eastAsia" w:ascii="宋体" w:hAnsi="宋体"/>
              </w:rPr>
              <w:t xml:space="preserve"> </w:t>
            </w:r>
            <w:r>
              <w:rPr>
                <w:rFonts w:hint="eastAsia"/>
                <w:highlight w:val="yellow"/>
              </w:rPr>
              <w:t>㎡</w:t>
            </w:r>
          </w:p>
        </w:tc>
        <w:tc>
          <w:tcPr>
            <w:tcW w:w="1985" w:type="dxa"/>
            <w:vAlign w:val="center"/>
          </w:tcPr>
          <w:p>
            <w:pPr>
              <w:spacing w:before="60" w:after="60"/>
              <w:jc w:val="center"/>
            </w:pPr>
            <w:r>
              <w:t>°C, m</w:t>
            </w:r>
            <w:r>
              <w:rPr>
                <w:vertAlign w:val="superscript"/>
              </w:rPr>
              <w:t>2</w:t>
            </w:r>
          </w:p>
        </w:tc>
        <w:tc>
          <w:tcPr>
            <w:tcW w:w="3685" w:type="dxa"/>
            <w:vAlign w:val="center"/>
          </w:tcPr>
          <w:p>
            <w:pPr>
              <w:spacing w:before="60" w:after="60"/>
            </w:pPr>
            <w:r>
              <w:t>“</w:t>
            </w:r>
            <w:r>
              <w:rPr>
                <w:rFonts w:hint="eastAsia" w:ascii="宋体" w:hAnsi="宋体"/>
                <w:highlight w:val="yellow"/>
              </w:rPr>
              <w:t>℃</w:t>
            </w:r>
            <w:r>
              <w:t>”, “</w:t>
            </w:r>
            <w:r>
              <w:rPr>
                <w:rFonts w:hint="eastAsia"/>
                <w:highlight w:val="yellow"/>
              </w:rPr>
              <w:t>㎡</w:t>
            </w:r>
            <w:r>
              <w:t xml:space="preserve">” and other similar units are not used in English fonts. The symbol “°” can be found in Word in “Insert” – &gt; “Symbol”. </w:t>
            </w:r>
            <w:r>
              <w:fldChar w:fldCharType="begin"/>
            </w:r>
            <w:r>
              <w:instrText xml:space="preserve"> ADDIN EN.CITE &lt;EndNote&gt;&lt;Cite&gt;&lt;RecNum&gt;6145&lt;/RecNum&gt;&lt;record&gt;&lt;rec-number&gt;6145&lt;/rec-number&gt;&lt;foreign-keys&gt;&lt;key app="EN" db-id="592swfzf3erw09epwrwp99aze0dxxsrfvz0s" timestamp="1335899261"&gt;6145&lt;/key&gt;&lt;/foreign-keys&gt;&lt;ref-type name="Report"&gt;27&lt;/ref-type&gt;&lt;contributors&gt;&lt;/contributors&gt;&lt;titles&gt;&lt;/titles&gt;&lt;dates&gt;&lt;/dates&gt;&lt;pub-location&gt;West Lafayette, Indiana&lt;/pub-location&gt;&lt;publisher&gt;Purdue University Cooperative Extension Service&lt;/publisher&gt;&lt;urls&gt;&lt;/urls&gt;&lt;/record&gt;&lt;/Cite&gt;&lt;Cite&gt;&lt;RecNum&gt;6145&lt;/RecNum&gt;&lt;record&gt;&lt;rec-number&gt;6145&lt;/rec-number&gt;&lt;foreign-keys&gt;&lt;key app="EN" db-id="592swfzf3erw09epwrwp99aze0dxxsrfvz0s" timestamp="1335899261"&gt;6145&lt;/key&gt;&lt;/foreign-keys&gt;&lt;ref-type name="Report"&gt;27&lt;/ref-type&gt;&lt;contributors&gt;&lt;/contributors&gt;&lt;titles&gt;&lt;/titles&gt;&lt;dates&gt;&lt;/dates&gt;&lt;pub-location&gt;West Lafayette, Indiana&lt;/pub-location&gt;&lt;publisher&gt;Purdue University Cooperative Extension Service&lt;/publisher&gt;&lt;urls&gt;&lt;/urls&gt;&lt;/record&gt;&lt;/Cite&gt;&lt;/EndNote&gt;</w:instrTex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vAlign w:val="center"/>
          </w:tcPr>
          <w:p>
            <w:pPr>
              <w:spacing w:before="60" w:after="60"/>
              <w:rPr>
                <w:lang w:eastAsia="zh-CN"/>
              </w:rPr>
            </w:pPr>
            <w:r>
              <w:t>Punctuation</w:t>
            </w:r>
            <w:r>
              <w:rPr>
                <w:rFonts w:hint="eastAsia"/>
                <w:lang w:eastAsia="zh-CN"/>
              </w:rPr>
              <w:t>s</w:t>
            </w:r>
          </w:p>
        </w:tc>
        <w:tc>
          <w:tcPr>
            <w:tcW w:w="1984" w:type="dxa"/>
            <w:vAlign w:val="center"/>
          </w:tcPr>
          <w:p>
            <w:pPr>
              <w:spacing w:before="60" w:after="60"/>
              <w:jc w:val="center"/>
            </w:pPr>
            <w:r>
              <w:rPr>
                <w:rFonts w:hint="eastAsia" w:ascii="宋体" w:hAnsi="宋体" w:cs="宋体"/>
                <w:highlight w:val="yellow"/>
              </w:rPr>
              <w:t>，</w:t>
            </w:r>
            <w:r>
              <w:rPr>
                <w:rFonts w:ascii="宋体" w:hAnsi="宋体" w:cs="宋体"/>
              </w:rPr>
              <w:t xml:space="preserve"> </w:t>
            </w:r>
            <w:r>
              <w:rPr>
                <w:highlight w:val="yellow"/>
              </w:rPr>
              <w:t>；</w:t>
            </w:r>
            <w:r>
              <w:t xml:space="preserve"> </w:t>
            </w:r>
            <w:r>
              <w:rPr>
                <w:rFonts w:hint="eastAsia"/>
                <w:highlight w:val="yellow"/>
                <w:lang w:eastAsia="zh-CN"/>
              </w:rPr>
              <w:t>：“</w:t>
            </w:r>
            <w:r>
              <w:rPr>
                <w:lang w:eastAsia="zh-CN"/>
              </w:rPr>
              <w:t xml:space="preserve"> </w:t>
            </w:r>
            <w:r>
              <w:rPr>
                <w:rFonts w:hint="eastAsia"/>
                <w:highlight w:val="yellow"/>
                <w:lang w:eastAsia="zh-CN"/>
              </w:rPr>
              <w:t>”</w:t>
            </w:r>
            <w:r>
              <w:rPr>
                <w:lang w:eastAsia="zh-CN"/>
              </w:rPr>
              <w:t xml:space="preserve"> </w:t>
            </w:r>
            <w:r>
              <w:rPr>
                <w:rFonts w:hint="eastAsia"/>
                <w:highlight w:val="yellow"/>
                <w:lang w:eastAsia="zh-CN"/>
              </w:rPr>
              <w:t>。</w:t>
            </w:r>
            <w:r>
              <w:rPr>
                <w:lang w:eastAsia="zh-CN"/>
              </w:rPr>
              <w:t xml:space="preserve"> </w:t>
            </w:r>
          </w:p>
        </w:tc>
        <w:tc>
          <w:tcPr>
            <w:tcW w:w="1985" w:type="dxa"/>
            <w:vAlign w:val="center"/>
          </w:tcPr>
          <w:p>
            <w:pPr>
              <w:spacing w:before="60" w:after="60"/>
              <w:jc w:val="center"/>
            </w:pPr>
            <w:r>
              <w:t>, ; : “ ” .</w:t>
            </w:r>
          </w:p>
        </w:tc>
        <w:tc>
          <w:tcPr>
            <w:tcW w:w="3685" w:type="dxa"/>
            <w:vAlign w:val="center"/>
          </w:tcPr>
          <w:p>
            <w:pPr>
              <w:spacing w:before="60" w:after="60"/>
            </w:pPr>
            <w:r>
              <w:t>These punctuations “</w:t>
            </w:r>
            <w:r>
              <w:rPr>
                <w:rFonts w:hint="eastAsia" w:ascii="宋体" w:hAnsi="宋体" w:cs="宋体"/>
                <w:highlight w:val="yellow"/>
              </w:rPr>
              <w:t>，</w:t>
            </w:r>
            <w:r>
              <w:rPr>
                <w:rFonts w:ascii="宋体" w:hAnsi="宋体" w:cs="宋体"/>
              </w:rPr>
              <w:t xml:space="preserve"> </w:t>
            </w:r>
            <w:r>
              <w:rPr>
                <w:highlight w:val="yellow"/>
              </w:rPr>
              <w:t>；</w:t>
            </w:r>
            <w:r>
              <w:t xml:space="preserve"> </w:t>
            </w:r>
            <w:r>
              <w:rPr>
                <w:rFonts w:hint="eastAsia"/>
                <w:highlight w:val="yellow"/>
                <w:lang w:eastAsia="zh-CN"/>
              </w:rPr>
              <w:t>：“</w:t>
            </w:r>
            <w:r>
              <w:rPr>
                <w:lang w:eastAsia="zh-CN"/>
              </w:rPr>
              <w:t xml:space="preserve"> </w:t>
            </w:r>
            <w:r>
              <w:rPr>
                <w:rFonts w:hint="eastAsia"/>
                <w:highlight w:val="yellow"/>
                <w:lang w:eastAsia="zh-CN"/>
              </w:rPr>
              <w:t>”</w:t>
            </w:r>
            <w:r>
              <w:rPr>
                <w:lang w:eastAsia="zh-CN"/>
              </w:rPr>
              <w:t xml:space="preserve"> </w:t>
            </w:r>
            <w:r>
              <w:rPr>
                <w:rFonts w:hint="eastAsia"/>
                <w:highlight w:val="yellow"/>
                <w:lang w:eastAsia="zh-CN"/>
              </w:rPr>
              <w:t>。</w:t>
            </w:r>
            <w:r>
              <w:rPr>
                <w:lang w:eastAsia="zh-CN"/>
              </w:rPr>
              <w:t xml:space="preserve"> ” are </w:t>
            </w:r>
            <w:r>
              <w:t>not used in English fonts.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pacing w:before="60" w:after="60"/>
            </w:pPr>
            <w:r>
              <w:t>Punctuation</w:t>
            </w:r>
          </w:p>
        </w:tc>
        <w:tc>
          <w:tcPr>
            <w:tcW w:w="1984" w:type="dxa"/>
            <w:vAlign w:val="center"/>
          </w:tcPr>
          <w:p>
            <w:pPr>
              <w:spacing w:before="60" w:after="60"/>
              <w:jc w:val="center"/>
            </w:pPr>
            <w:r>
              <w:t>… pigs</w:t>
            </w:r>
            <w:r>
              <w:rPr>
                <w:rFonts w:hint="eastAsia"/>
                <w:highlight w:val="yellow"/>
              </w:rPr>
              <w:t>、</w:t>
            </w:r>
            <w:r>
              <w:rPr>
                <w:rFonts w:hint="eastAsia"/>
              </w:rPr>
              <w:t>cows</w:t>
            </w:r>
            <w:r>
              <w:t>…</w:t>
            </w:r>
          </w:p>
        </w:tc>
        <w:tc>
          <w:tcPr>
            <w:tcW w:w="1985" w:type="dxa"/>
            <w:vAlign w:val="center"/>
          </w:tcPr>
          <w:p>
            <w:pPr>
              <w:spacing w:before="60" w:after="60"/>
              <w:jc w:val="center"/>
            </w:pPr>
            <w:r>
              <w:t>… pigs, cow</w:t>
            </w:r>
            <w:r>
              <w:rPr>
                <w:rFonts w:hint="eastAsia"/>
              </w:rPr>
              <w:t>s</w:t>
            </w:r>
            <w:r>
              <w:t>…</w:t>
            </w:r>
          </w:p>
        </w:tc>
        <w:tc>
          <w:tcPr>
            <w:tcW w:w="3685" w:type="dxa"/>
            <w:vAlign w:val="center"/>
          </w:tcPr>
          <w:p>
            <w:pPr>
              <w:spacing w:before="60" w:after="60"/>
            </w:pPr>
            <w:r>
              <w:t>The punctuation “</w:t>
            </w:r>
            <w:r>
              <w:rPr>
                <w:rFonts w:hint="eastAsia"/>
                <w:highlight w:val="yellow"/>
              </w:rPr>
              <w:t>、</w:t>
            </w:r>
            <w:r>
              <w:t>” is not used in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vAlign w:val="center"/>
          </w:tcPr>
          <w:p>
            <w:pPr>
              <w:spacing w:before="60" w:after="60"/>
            </w:pPr>
            <w:r>
              <w:t>Range</w:t>
            </w:r>
          </w:p>
        </w:tc>
        <w:tc>
          <w:tcPr>
            <w:tcW w:w="1984" w:type="dxa"/>
            <w:vAlign w:val="center"/>
          </w:tcPr>
          <w:p>
            <w:pPr>
              <w:spacing w:before="60" w:after="60"/>
              <w:jc w:val="center"/>
            </w:pPr>
            <w:r>
              <w:t xml:space="preserve">4 </w:t>
            </w:r>
            <w:r>
              <w:rPr>
                <w:highlight w:val="yellow"/>
              </w:rPr>
              <w:t>~</w:t>
            </w:r>
            <w:r>
              <w:t xml:space="preserve"> 5</w:t>
            </w:r>
          </w:p>
        </w:tc>
        <w:tc>
          <w:tcPr>
            <w:tcW w:w="1985" w:type="dxa"/>
            <w:vAlign w:val="center"/>
          </w:tcPr>
          <w:p>
            <w:pPr>
              <w:spacing w:before="60" w:after="60"/>
              <w:jc w:val="center"/>
            </w:pPr>
            <w:r>
              <w:t xml:space="preserve">4–5 </w:t>
            </w:r>
          </w:p>
        </w:tc>
        <w:tc>
          <w:tcPr>
            <w:tcW w:w="3685" w:type="dxa"/>
            <w:vAlign w:val="center"/>
          </w:tcPr>
          <w:p>
            <w:pPr>
              <w:spacing w:before="60" w:after="60"/>
            </w:pPr>
            <w:r>
              <w:t>“</w:t>
            </w:r>
            <w:r>
              <w:rPr>
                <w:highlight w:val="yellow"/>
              </w:rPr>
              <w:t>~</w:t>
            </w:r>
            <w:r>
              <w:t>” in English usually means approximate. Use an “–”, which is an en dash, not a hyphen “-”, for a range. The “–” can be found in Word in “Insert” – &gt;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pacing w:before="60" w:after="60"/>
            </w:pPr>
            <w:r>
              <w:t>Separator</w:t>
            </w:r>
          </w:p>
        </w:tc>
        <w:tc>
          <w:tcPr>
            <w:tcW w:w="1984" w:type="dxa"/>
            <w:vAlign w:val="center"/>
          </w:tcPr>
          <w:p>
            <w:pPr>
              <w:spacing w:before="60" w:after="60"/>
              <w:jc w:val="center"/>
            </w:pPr>
            <w:r>
              <w:t xml:space="preserve">Area </w:t>
            </w:r>
            <w:r>
              <w:rPr>
                <w:highlight w:val="yellow"/>
              </w:rPr>
              <w:t>/</w:t>
            </w:r>
            <w:r>
              <w:t>(m</w:t>
            </w:r>
            <w:r>
              <w:rPr>
                <w:vertAlign w:val="superscript"/>
              </w:rPr>
              <w:t>2</w:t>
            </w:r>
            <w:r>
              <w:t>)</w:t>
            </w:r>
          </w:p>
        </w:tc>
        <w:tc>
          <w:tcPr>
            <w:tcW w:w="1985" w:type="dxa"/>
            <w:vAlign w:val="center"/>
          </w:tcPr>
          <w:p>
            <w:pPr>
              <w:spacing w:before="60" w:after="60"/>
              <w:jc w:val="center"/>
            </w:pPr>
            <w:r>
              <w:t>Distance (m</w:t>
            </w:r>
            <w:r>
              <w:rPr>
                <w:vertAlign w:val="superscript"/>
              </w:rPr>
              <w:t>2</w:t>
            </w:r>
            <w:r>
              <w:t>) or Distance, m</w:t>
            </w:r>
            <w:r>
              <w:rPr>
                <w:vertAlign w:val="superscript"/>
              </w:rPr>
              <w:t>2</w:t>
            </w:r>
          </w:p>
        </w:tc>
        <w:tc>
          <w:tcPr>
            <w:tcW w:w="3685" w:type="dxa"/>
            <w:vAlign w:val="center"/>
          </w:tcPr>
          <w:p>
            <w:pPr>
              <w:spacing w:before="60" w:after="60"/>
            </w:pPr>
            <w:r>
              <w:t>“</w:t>
            </w:r>
            <w:r>
              <w:rPr>
                <w:highlight w:val="yellow"/>
              </w:rPr>
              <w:t>/</w:t>
            </w:r>
            <w:r>
              <w:t>” is not used before the units in papers in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vAlign w:val="center"/>
          </w:tcPr>
          <w:p>
            <w:pPr>
              <w:spacing w:before="60" w:after="60"/>
            </w:pPr>
            <w:r>
              <w:t>Space</w:t>
            </w:r>
          </w:p>
        </w:tc>
        <w:tc>
          <w:tcPr>
            <w:tcW w:w="1984" w:type="dxa"/>
            <w:vAlign w:val="center"/>
          </w:tcPr>
          <w:p>
            <w:pPr>
              <w:spacing w:before="60" w:after="60"/>
              <w:jc w:val="center"/>
            </w:pPr>
            <w:r>
              <w:t>…stop</w:t>
            </w:r>
            <w:r>
              <w:rPr>
                <w:highlight w:val="yellow"/>
              </w:rPr>
              <w:t>s.T</w:t>
            </w:r>
            <w:r>
              <w:t>hen…</w:t>
            </w:r>
          </w:p>
          <w:p>
            <w:pPr>
              <w:spacing w:before="60" w:after="60"/>
              <w:jc w:val="center"/>
            </w:pPr>
            <w:r>
              <w:t>…to</w:t>
            </w:r>
            <w:r>
              <w:rPr>
                <w:highlight w:val="yellow"/>
              </w:rPr>
              <w:t>o(</w:t>
            </w:r>
            <w:r>
              <w:t>Lu, 2015)</w:t>
            </w:r>
          </w:p>
        </w:tc>
        <w:tc>
          <w:tcPr>
            <w:tcW w:w="1985" w:type="dxa"/>
            <w:vAlign w:val="center"/>
          </w:tcPr>
          <w:p>
            <w:pPr>
              <w:spacing w:before="60" w:after="60"/>
              <w:jc w:val="center"/>
            </w:pPr>
            <w:r>
              <w:t>…stops. Then…</w:t>
            </w:r>
          </w:p>
          <w:p>
            <w:pPr>
              <w:spacing w:before="60" w:after="60"/>
              <w:jc w:val="center"/>
            </w:pPr>
            <w:r>
              <w:t>…too (Lu, 2015)</w:t>
            </w:r>
          </w:p>
        </w:tc>
        <w:tc>
          <w:tcPr>
            <w:tcW w:w="3685" w:type="dxa"/>
            <w:vAlign w:val="center"/>
          </w:tcPr>
          <w:p>
            <w:pPr>
              <w:spacing w:before="60" w:after="60"/>
            </w:pPr>
            <w:r>
              <w:t>A space is needed in these examples.</w:t>
            </w:r>
          </w:p>
        </w:tc>
      </w:tr>
    </w:tbl>
    <w:p/>
    <w:p/>
    <w:sectPr>
      <w:footerReference r:id="rId3" w:type="default"/>
      <w:pgSz w:w="12240" w:h="15840"/>
      <w:pgMar w:top="1440" w:right="1440" w:bottom="1440" w:left="144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1014798"/>
      <w:docPartObj>
        <w:docPartGallery w:val="AutoText"/>
      </w:docPartObj>
    </w:sdtPr>
    <w:sdtContent>
      <w:p>
        <w:pPr>
          <w:pStyle w:val="5"/>
          <w:jc w:val="center"/>
        </w:pPr>
        <w:r>
          <w:fldChar w:fldCharType="begin"/>
        </w:r>
        <w:r>
          <w:instrText xml:space="preserve"> PAGE   \* MERGEFORMAT </w:instrText>
        </w:r>
        <w:r>
          <w:fldChar w:fldCharType="separate"/>
        </w:r>
        <w:r>
          <w:t>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7E37A8"/>
    <w:multiLevelType w:val="multilevel"/>
    <w:tmpl w:val="6A7E37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0"/>
  <w:displayVerticalDrawingGridEvery w:val="0"/>
  <w:doNotUseMarginsForDrawingGridOrigin w:val="1"/>
  <w:drawingGridHorizontalOrigin w:val="1800"/>
  <w:drawingGridVerticalOrigin w:val="1440"/>
  <w:noPunctuationKerning w:val="1"/>
  <w:characterSpacingControl w:val="doNotCompress"/>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 Elsevier Journals full journal name &amp;amp; DO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2swfzf3erw09epwrwp99aze0dxxsrfvz0s&quot;&gt;Ni-good X2&lt;record-ids&gt;&lt;item&gt;6145&lt;/item&gt;&lt;/record-ids&gt;&lt;/item&gt;&lt;/Libraries&gt;"/>
  </w:docVars>
  <w:rsids>
    <w:rsidRoot w:val="00761F4C"/>
    <w:rsid w:val="000221EF"/>
    <w:rsid w:val="00030975"/>
    <w:rsid w:val="00064A0C"/>
    <w:rsid w:val="000913BF"/>
    <w:rsid w:val="000C568F"/>
    <w:rsid w:val="000F2A9A"/>
    <w:rsid w:val="001315E7"/>
    <w:rsid w:val="00133770"/>
    <w:rsid w:val="00143A35"/>
    <w:rsid w:val="001A0225"/>
    <w:rsid w:val="001E5F08"/>
    <w:rsid w:val="00203BA9"/>
    <w:rsid w:val="00227B19"/>
    <w:rsid w:val="00230B52"/>
    <w:rsid w:val="00234418"/>
    <w:rsid w:val="00245F3C"/>
    <w:rsid w:val="00265AC4"/>
    <w:rsid w:val="00297E48"/>
    <w:rsid w:val="002E16F3"/>
    <w:rsid w:val="002E65A5"/>
    <w:rsid w:val="0031278C"/>
    <w:rsid w:val="003148EF"/>
    <w:rsid w:val="00323FCD"/>
    <w:rsid w:val="0034481C"/>
    <w:rsid w:val="00354BA7"/>
    <w:rsid w:val="0036029F"/>
    <w:rsid w:val="00361473"/>
    <w:rsid w:val="00365BAE"/>
    <w:rsid w:val="003962C6"/>
    <w:rsid w:val="003C58FF"/>
    <w:rsid w:val="003C67BB"/>
    <w:rsid w:val="003D4976"/>
    <w:rsid w:val="003E2D42"/>
    <w:rsid w:val="004364DF"/>
    <w:rsid w:val="00437E8D"/>
    <w:rsid w:val="00452ABB"/>
    <w:rsid w:val="00453E92"/>
    <w:rsid w:val="00476185"/>
    <w:rsid w:val="00486CE6"/>
    <w:rsid w:val="00487F3C"/>
    <w:rsid w:val="004D1010"/>
    <w:rsid w:val="004D64C5"/>
    <w:rsid w:val="00545C7F"/>
    <w:rsid w:val="0055406E"/>
    <w:rsid w:val="00561E27"/>
    <w:rsid w:val="00581E80"/>
    <w:rsid w:val="00587A0C"/>
    <w:rsid w:val="005B4B08"/>
    <w:rsid w:val="005C7093"/>
    <w:rsid w:val="005E01A0"/>
    <w:rsid w:val="006078BE"/>
    <w:rsid w:val="00630006"/>
    <w:rsid w:val="006431F1"/>
    <w:rsid w:val="00651FD0"/>
    <w:rsid w:val="00666023"/>
    <w:rsid w:val="00672230"/>
    <w:rsid w:val="00680E6C"/>
    <w:rsid w:val="006907C1"/>
    <w:rsid w:val="0069223F"/>
    <w:rsid w:val="006A0D12"/>
    <w:rsid w:val="006B09F2"/>
    <w:rsid w:val="006B3AFB"/>
    <w:rsid w:val="006C16E7"/>
    <w:rsid w:val="006C2D03"/>
    <w:rsid w:val="006F06AE"/>
    <w:rsid w:val="00702069"/>
    <w:rsid w:val="00741C33"/>
    <w:rsid w:val="00753E35"/>
    <w:rsid w:val="00756E28"/>
    <w:rsid w:val="00761F4C"/>
    <w:rsid w:val="00765640"/>
    <w:rsid w:val="007928C8"/>
    <w:rsid w:val="007E209A"/>
    <w:rsid w:val="007F1B1F"/>
    <w:rsid w:val="00800308"/>
    <w:rsid w:val="008118C0"/>
    <w:rsid w:val="00811CF7"/>
    <w:rsid w:val="00833F57"/>
    <w:rsid w:val="008628F1"/>
    <w:rsid w:val="00870925"/>
    <w:rsid w:val="00887140"/>
    <w:rsid w:val="008B1211"/>
    <w:rsid w:val="008D404D"/>
    <w:rsid w:val="008E0655"/>
    <w:rsid w:val="008E5C9D"/>
    <w:rsid w:val="0090628F"/>
    <w:rsid w:val="0093066F"/>
    <w:rsid w:val="00937ED0"/>
    <w:rsid w:val="009628CD"/>
    <w:rsid w:val="009952EE"/>
    <w:rsid w:val="009963F0"/>
    <w:rsid w:val="009B6AB1"/>
    <w:rsid w:val="009B7478"/>
    <w:rsid w:val="009D4EDF"/>
    <w:rsid w:val="009E53A1"/>
    <w:rsid w:val="009F46F9"/>
    <w:rsid w:val="009F5599"/>
    <w:rsid w:val="00A278DD"/>
    <w:rsid w:val="00A83783"/>
    <w:rsid w:val="00A876B1"/>
    <w:rsid w:val="00A905C1"/>
    <w:rsid w:val="00AC5AEF"/>
    <w:rsid w:val="00AC6A96"/>
    <w:rsid w:val="00AE1D63"/>
    <w:rsid w:val="00B033DD"/>
    <w:rsid w:val="00B037E6"/>
    <w:rsid w:val="00B21EE9"/>
    <w:rsid w:val="00B35F38"/>
    <w:rsid w:val="00B40B5E"/>
    <w:rsid w:val="00BA33C3"/>
    <w:rsid w:val="00BA6875"/>
    <w:rsid w:val="00BC3433"/>
    <w:rsid w:val="00BC5AA1"/>
    <w:rsid w:val="00BD464F"/>
    <w:rsid w:val="00C20222"/>
    <w:rsid w:val="00C3292B"/>
    <w:rsid w:val="00C53997"/>
    <w:rsid w:val="00C639DC"/>
    <w:rsid w:val="00C84793"/>
    <w:rsid w:val="00C93012"/>
    <w:rsid w:val="00C9523A"/>
    <w:rsid w:val="00CA2558"/>
    <w:rsid w:val="00CC3ACC"/>
    <w:rsid w:val="00CC7492"/>
    <w:rsid w:val="00CE12E1"/>
    <w:rsid w:val="00D12C10"/>
    <w:rsid w:val="00D162EA"/>
    <w:rsid w:val="00D52ECD"/>
    <w:rsid w:val="00D84533"/>
    <w:rsid w:val="00D86399"/>
    <w:rsid w:val="00DE4B13"/>
    <w:rsid w:val="00E35B4D"/>
    <w:rsid w:val="00E452A5"/>
    <w:rsid w:val="00E50590"/>
    <w:rsid w:val="00E55E36"/>
    <w:rsid w:val="00E7362A"/>
    <w:rsid w:val="00E73651"/>
    <w:rsid w:val="00E87AF4"/>
    <w:rsid w:val="00EA40B2"/>
    <w:rsid w:val="00EB15EC"/>
    <w:rsid w:val="00EC485B"/>
    <w:rsid w:val="00F27F49"/>
    <w:rsid w:val="00F91782"/>
    <w:rsid w:val="00F959AB"/>
    <w:rsid w:val="00FD19AC"/>
    <w:rsid w:val="00FD5812"/>
    <w:rsid w:val="00FE1617"/>
    <w:rsid w:val="00FF5137"/>
    <w:rsid w:val="382C75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ar-SA"/>
    </w:rPr>
  </w:style>
  <w:style w:type="paragraph" w:styleId="2">
    <w:name w:val="heading 1"/>
    <w:basedOn w:val="1"/>
    <w:next w:val="1"/>
    <w:link w:val="14"/>
    <w:qFormat/>
    <w:uiPriority w:val="99"/>
    <w:pPr>
      <w:keepNext/>
      <w:outlineLvl w:val="0"/>
    </w:pPr>
    <w:rPr>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rPr>
      <w:sz w:val="20"/>
      <w:szCs w:val="20"/>
    </w:rPr>
  </w:style>
  <w:style w:type="paragraph" w:styleId="4">
    <w:name w:val="Balloon Text"/>
    <w:basedOn w:val="1"/>
    <w:link w:val="15"/>
    <w:semiHidden/>
    <w:qFormat/>
    <w:uiPriority w:val="99"/>
    <w:rPr>
      <w:rFonts w:ascii="Tahoma" w:hAnsi="Tahoma" w:cs="Tahoma"/>
      <w:sz w:val="16"/>
      <w:szCs w:val="16"/>
    </w:rPr>
  </w:style>
  <w:style w:type="paragraph" w:styleId="5">
    <w:name w:val="footer"/>
    <w:basedOn w:val="1"/>
    <w:link w:val="24"/>
    <w:unhideWhenUsed/>
    <w:qFormat/>
    <w:uiPriority w:val="99"/>
    <w:pPr>
      <w:tabs>
        <w:tab w:val="center" w:pos="4680"/>
        <w:tab w:val="right" w:pos="9360"/>
      </w:tabs>
    </w:pPr>
  </w:style>
  <w:style w:type="paragraph" w:styleId="6">
    <w:name w:val="header"/>
    <w:basedOn w:val="1"/>
    <w:link w:val="23"/>
    <w:unhideWhenUsed/>
    <w:qFormat/>
    <w:uiPriority w:val="99"/>
    <w:pPr>
      <w:tabs>
        <w:tab w:val="center" w:pos="4680"/>
        <w:tab w:val="right" w:pos="9360"/>
      </w:tabs>
    </w:pPr>
  </w:style>
  <w:style w:type="paragraph" w:styleId="7">
    <w:name w:val="Title"/>
    <w:basedOn w:val="1"/>
    <w:next w:val="1"/>
    <w:link w:val="16"/>
    <w:qFormat/>
    <w:uiPriority w:val="10"/>
    <w:pPr>
      <w:spacing w:before="120"/>
      <w:jc w:val="center"/>
      <w:outlineLvl w:val="0"/>
    </w:pPr>
    <w:rPr>
      <w:b/>
      <w:bCs/>
      <w:kern w:val="28"/>
      <w:sz w:val="28"/>
      <w:szCs w:val="28"/>
    </w:rPr>
  </w:style>
  <w:style w:type="paragraph" w:styleId="8">
    <w:name w:val="annotation subject"/>
    <w:basedOn w:val="3"/>
    <w:next w:val="3"/>
    <w:link w:val="22"/>
    <w:semiHidden/>
    <w:unhideWhenUsed/>
    <w:qFormat/>
    <w:uiPriority w:val="99"/>
    <w:rPr>
      <w:b/>
      <w:bCs/>
    </w:rPr>
  </w:style>
  <w:style w:type="character" w:styleId="11">
    <w:name w:val="FollowedHyperlink"/>
    <w:semiHidden/>
    <w:unhideWhenUsed/>
    <w:qFormat/>
    <w:uiPriority w:val="99"/>
    <w:rPr>
      <w:color w:val="954F72"/>
      <w:u w:val="single"/>
    </w:rPr>
  </w:style>
  <w:style w:type="character" w:styleId="12">
    <w:name w:val="Hyperlink"/>
    <w:unhideWhenUsed/>
    <w:qFormat/>
    <w:uiPriority w:val="99"/>
    <w:rPr>
      <w:color w:val="0563C1"/>
      <w:u w:val="single"/>
    </w:rPr>
  </w:style>
  <w:style w:type="character" w:styleId="13">
    <w:name w:val="annotation reference"/>
    <w:semiHidden/>
    <w:unhideWhenUsed/>
    <w:qFormat/>
    <w:uiPriority w:val="99"/>
    <w:rPr>
      <w:sz w:val="16"/>
      <w:szCs w:val="16"/>
    </w:rPr>
  </w:style>
  <w:style w:type="character" w:customStyle="1" w:styleId="14">
    <w:name w:val="Heading 1 Char"/>
    <w:link w:val="2"/>
    <w:qFormat/>
    <w:uiPriority w:val="9"/>
    <w:rPr>
      <w:rFonts w:ascii="Cambria" w:hAnsi="Cambria" w:eastAsia="宋体" w:cs="Times New Roman"/>
      <w:b/>
      <w:bCs/>
      <w:kern w:val="32"/>
      <w:sz w:val="32"/>
      <w:szCs w:val="32"/>
      <w:lang w:eastAsia="en-US"/>
    </w:rPr>
  </w:style>
  <w:style w:type="character" w:customStyle="1" w:styleId="15">
    <w:name w:val="Balloon Text Char"/>
    <w:link w:val="4"/>
    <w:semiHidden/>
    <w:qFormat/>
    <w:uiPriority w:val="99"/>
    <w:rPr>
      <w:rFonts w:ascii="Tahoma" w:hAnsi="Tahoma" w:cs="Tahoma"/>
      <w:sz w:val="16"/>
      <w:szCs w:val="16"/>
      <w:lang w:eastAsia="en-US"/>
    </w:rPr>
  </w:style>
  <w:style w:type="character" w:customStyle="1" w:styleId="16">
    <w:name w:val="Title Char"/>
    <w:link w:val="7"/>
    <w:qFormat/>
    <w:uiPriority w:val="10"/>
    <w:rPr>
      <w:rFonts w:eastAsia="宋体"/>
      <w:b/>
      <w:bCs/>
      <w:kern w:val="28"/>
      <w:sz w:val="28"/>
      <w:szCs w:val="28"/>
      <w:lang w:eastAsia="en-US"/>
    </w:rPr>
  </w:style>
  <w:style w:type="paragraph" w:customStyle="1" w:styleId="17">
    <w:name w:val="EndNote Bibliography Title"/>
    <w:basedOn w:val="1"/>
    <w:link w:val="18"/>
    <w:qFormat/>
    <w:uiPriority w:val="0"/>
    <w:pPr>
      <w:jc w:val="center"/>
    </w:pPr>
  </w:style>
  <w:style w:type="character" w:customStyle="1" w:styleId="18">
    <w:name w:val="EndNote Bibliography Title Char"/>
    <w:link w:val="17"/>
    <w:qFormat/>
    <w:uiPriority w:val="0"/>
    <w:rPr>
      <w:sz w:val="24"/>
      <w:szCs w:val="24"/>
      <w:lang w:eastAsia="en-US"/>
    </w:rPr>
  </w:style>
  <w:style w:type="paragraph" w:customStyle="1" w:styleId="19">
    <w:name w:val="EndNote Bibliography"/>
    <w:basedOn w:val="1"/>
    <w:link w:val="20"/>
    <w:qFormat/>
    <w:uiPriority w:val="0"/>
  </w:style>
  <w:style w:type="character" w:customStyle="1" w:styleId="20">
    <w:name w:val="EndNote Bibliography Char"/>
    <w:link w:val="19"/>
    <w:qFormat/>
    <w:uiPriority w:val="0"/>
    <w:rPr>
      <w:sz w:val="24"/>
      <w:szCs w:val="24"/>
      <w:lang w:eastAsia="en-US"/>
    </w:rPr>
  </w:style>
  <w:style w:type="character" w:customStyle="1" w:styleId="21">
    <w:name w:val="Comment Text Char"/>
    <w:link w:val="3"/>
    <w:semiHidden/>
    <w:qFormat/>
    <w:uiPriority w:val="99"/>
    <w:rPr>
      <w:lang w:eastAsia="en-US"/>
    </w:rPr>
  </w:style>
  <w:style w:type="character" w:customStyle="1" w:styleId="22">
    <w:name w:val="Comment Subject Char"/>
    <w:link w:val="8"/>
    <w:semiHidden/>
    <w:qFormat/>
    <w:uiPriority w:val="99"/>
    <w:rPr>
      <w:b/>
      <w:bCs/>
      <w:lang w:eastAsia="en-US"/>
    </w:rPr>
  </w:style>
  <w:style w:type="character" w:customStyle="1" w:styleId="23">
    <w:name w:val="Header Char"/>
    <w:link w:val="6"/>
    <w:qFormat/>
    <w:uiPriority w:val="99"/>
    <w:rPr>
      <w:sz w:val="24"/>
      <w:szCs w:val="24"/>
      <w:lang w:eastAsia="en-US"/>
    </w:rPr>
  </w:style>
  <w:style w:type="character" w:customStyle="1" w:styleId="24">
    <w:name w:val="Footer Char"/>
    <w:link w:val="5"/>
    <w:qFormat/>
    <w:uiPriority w:val="99"/>
    <w:rPr>
      <w:sz w:val="24"/>
      <w:szCs w:val="24"/>
      <w:lang w:eastAsia="en-US"/>
    </w:rPr>
  </w:style>
  <w:style w:type="paragraph" w:customStyle="1" w:styleId="25">
    <w:name w:val="Revision"/>
    <w:hidden/>
    <w:semiHidden/>
    <w:qFormat/>
    <w:uiPriority w:val="99"/>
    <w:rPr>
      <w:rFonts w:ascii="Times New Roman" w:hAnsi="Times New Roman" w:eastAsia="宋体" w:cs="Times New Roman"/>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NC State University</Company>
  <Pages>2</Pages>
  <Words>678</Words>
  <Characters>3399</Characters>
  <Lines>36</Lines>
  <Paragraphs>10</Paragraphs>
  <TotalTime>15</TotalTime>
  <ScaleCrop>false</ScaleCrop>
  <LinksUpToDate>false</LinksUpToDate>
  <CharactersWithSpaces>4009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2023-05-10T12:47:00Z</dcterms:created>
  <dc:creator>kshighsm</dc:creator>
  <cp:lastModifiedBy>nola刘</cp:lastModifiedBy>
  <cp:lastPrinted>2017-08-18T11:13:00Z</cp:lastPrinted>
  <dcterms:modified xsi:type="dcterms:W3CDTF">2023-05-11T03:37:00Z</dcterms:modified>
  <dc:title>ISAEW 2017 paper writing special notes</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F146A4A19E7D47C2991376A094D6D66B_13</vt:lpwstr>
  </property>
</Properties>
</file>